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C5B" w:rsidRDefault="00FB2C5B" w:rsidP="00A873B5">
      <w:pPr>
        <w:spacing w:line="480" w:lineRule="auto"/>
        <w:jc w:val="center"/>
        <w:rPr>
          <w:rFonts w:ascii="Times New Roman" w:hAnsi="Times New Roman" w:cs="Times New Roman"/>
          <w:b/>
          <w:sz w:val="24"/>
          <w:szCs w:val="24"/>
        </w:rPr>
      </w:pPr>
    </w:p>
    <w:p w:rsidR="00FB2C5B" w:rsidRDefault="00FB2C5B" w:rsidP="00A873B5">
      <w:pPr>
        <w:spacing w:line="480" w:lineRule="auto"/>
        <w:jc w:val="center"/>
        <w:rPr>
          <w:rFonts w:ascii="Times New Roman" w:hAnsi="Times New Roman" w:cs="Times New Roman"/>
          <w:b/>
          <w:sz w:val="24"/>
          <w:szCs w:val="24"/>
        </w:rPr>
      </w:pPr>
    </w:p>
    <w:p w:rsidR="00FB2C5B" w:rsidRDefault="00FB2C5B" w:rsidP="00A873B5">
      <w:pPr>
        <w:spacing w:line="480" w:lineRule="auto"/>
        <w:jc w:val="center"/>
        <w:rPr>
          <w:rFonts w:ascii="Times New Roman" w:hAnsi="Times New Roman" w:cs="Times New Roman"/>
          <w:b/>
          <w:sz w:val="24"/>
          <w:szCs w:val="24"/>
        </w:rPr>
      </w:pPr>
    </w:p>
    <w:p w:rsidR="00FB2C5B" w:rsidRDefault="00FB2C5B" w:rsidP="00A873B5">
      <w:pPr>
        <w:spacing w:line="480" w:lineRule="auto"/>
        <w:jc w:val="center"/>
        <w:rPr>
          <w:rFonts w:ascii="Times New Roman" w:hAnsi="Times New Roman" w:cs="Times New Roman"/>
          <w:b/>
          <w:sz w:val="24"/>
          <w:szCs w:val="24"/>
        </w:rPr>
      </w:pPr>
    </w:p>
    <w:p w:rsidR="00A873B5" w:rsidRDefault="00A873B5" w:rsidP="00A873B5">
      <w:pPr>
        <w:spacing w:line="480" w:lineRule="auto"/>
        <w:jc w:val="center"/>
        <w:rPr>
          <w:rFonts w:ascii="Times New Roman" w:hAnsi="Times New Roman" w:cs="Times New Roman"/>
          <w:b/>
          <w:sz w:val="24"/>
          <w:szCs w:val="24"/>
        </w:rPr>
      </w:pPr>
    </w:p>
    <w:p w:rsidR="00FB2C5B" w:rsidRDefault="00FB2C5B" w:rsidP="00A873B5">
      <w:pPr>
        <w:spacing w:line="480" w:lineRule="auto"/>
        <w:jc w:val="center"/>
        <w:rPr>
          <w:rFonts w:ascii="Times New Roman" w:hAnsi="Times New Roman" w:cs="Times New Roman"/>
          <w:b/>
          <w:sz w:val="24"/>
          <w:szCs w:val="24"/>
        </w:rPr>
      </w:pPr>
    </w:p>
    <w:p w:rsidR="00FB2C5B" w:rsidRDefault="00FB2C5B" w:rsidP="00A873B5">
      <w:pPr>
        <w:spacing w:line="480" w:lineRule="auto"/>
        <w:jc w:val="center"/>
        <w:rPr>
          <w:rFonts w:ascii="Times New Roman" w:hAnsi="Times New Roman" w:cs="Times New Roman"/>
          <w:b/>
          <w:sz w:val="24"/>
          <w:szCs w:val="24"/>
        </w:rPr>
      </w:pPr>
    </w:p>
    <w:p w:rsidR="00FB2C5B" w:rsidRPr="00047E5B" w:rsidRDefault="00FB2C5B" w:rsidP="00A873B5">
      <w:pPr>
        <w:spacing w:line="480" w:lineRule="auto"/>
        <w:jc w:val="center"/>
        <w:rPr>
          <w:rFonts w:ascii="Times New Roman" w:hAnsi="Times New Roman" w:cs="Times New Roman"/>
          <w:b/>
          <w:sz w:val="24"/>
          <w:szCs w:val="24"/>
        </w:rPr>
      </w:pPr>
      <w:r w:rsidRPr="00047E5B">
        <w:rPr>
          <w:rFonts w:ascii="Times New Roman" w:hAnsi="Times New Roman" w:cs="Times New Roman"/>
          <w:b/>
          <w:sz w:val="24"/>
          <w:szCs w:val="24"/>
        </w:rPr>
        <w:t xml:space="preserve">Assignment: </w:t>
      </w:r>
      <w:r>
        <w:rPr>
          <w:rFonts w:ascii="Times New Roman" w:hAnsi="Times New Roman" w:cs="Times New Roman"/>
          <w:b/>
          <w:sz w:val="24"/>
          <w:szCs w:val="24"/>
        </w:rPr>
        <w:t xml:space="preserve">Referencing </w:t>
      </w:r>
      <w:r w:rsidRPr="00047E5B">
        <w:rPr>
          <w:rFonts w:ascii="Times New Roman" w:hAnsi="Times New Roman" w:cs="Times New Roman"/>
          <w:b/>
          <w:sz w:val="24"/>
          <w:szCs w:val="24"/>
        </w:rPr>
        <w:t>Cases and Findings of the Assigned Article</w:t>
      </w:r>
    </w:p>
    <w:p w:rsidR="00FB2C5B" w:rsidRDefault="00FB2C5B" w:rsidP="00A873B5">
      <w:pPr>
        <w:spacing w:line="480" w:lineRule="auto"/>
        <w:jc w:val="center"/>
        <w:rPr>
          <w:rFonts w:ascii="Times New Roman" w:hAnsi="Times New Roman" w:cs="Times New Roman"/>
          <w:b/>
          <w:sz w:val="24"/>
          <w:szCs w:val="24"/>
        </w:rPr>
      </w:pPr>
    </w:p>
    <w:p w:rsidR="00FB2C5B" w:rsidRPr="00FB2C5B" w:rsidRDefault="00FB2C5B" w:rsidP="00A873B5">
      <w:pPr>
        <w:spacing w:line="480" w:lineRule="auto"/>
        <w:jc w:val="center"/>
        <w:rPr>
          <w:rFonts w:ascii="Times New Roman" w:hAnsi="Times New Roman" w:cs="Times New Roman"/>
          <w:sz w:val="24"/>
          <w:szCs w:val="24"/>
        </w:rPr>
      </w:pPr>
      <w:r w:rsidRPr="00FB2C5B">
        <w:rPr>
          <w:rFonts w:ascii="Times New Roman" w:hAnsi="Times New Roman" w:cs="Times New Roman"/>
          <w:sz w:val="24"/>
          <w:szCs w:val="24"/>
        </w:rPr>
        <w:t xml:space="preserve">Name </w:t>
      </w:r>
    </w:p>
    <w:p w:rsidR="00FB2C5B" w:rsidRPr="00FB2C5B" w:rsidRDefault="00FB2C5B" w:rsidP="00A873B5">
      <w:pPr>
        <w:spacing w:line="480" w:lineRule="auto"/>
        <w:jc w:val="center"/>
        <w:rPr>
          <w:rFonts w:ascii="Times New Roman" w:hAnsi="Times New Roman" w:cs="Times New Roman"/>
          <w:sz w:val="24"/>
          <w:szCs w:val="24"/>
        </w:rPr>
      </w:pPr>
      <w:r w:rsidRPr="00FB2C5B">
        <w:rPr>
          <w:rFonts w:ascii="Times New Roman" w:hAnsi="Times New Roman" w:cs="Times New Roman"/>
          <w:sz w:val="24"/>
          <w:szCs w:val="24"/>
        </w:rPr>
        <w:t xml:space="preserve">Institutional Affiliation </w:t>
      </w:r>
    </w:p>
    <w:p w:rsidR="00FB2C5B" w:rsidRPr="00FB2C5B" w:rsidRDefault="00FB2C5B" w:rsidP="00A873B5">
      <w:pPr>
        <w:spacing w:line="480" w:lineRule="auto"/>
        <w:jc w:val="center"/>
        <w:rPr>
          <w:rFonts w:ascii="Times New Roman" w:hAnsi="Times New Roman" w:cs="Times New Roman"/>
          <w:sz w:val="24"/>
          <w:szCs w:val="24"/>
        </w:rPr>
      </w:pPr>
      <w:r w:rsidRPr="00FB2C5B">
        <w:rPr>
          <w:rFonts w:ascii="Times New Roman" w:hAnsi="Times New Roman" w:cs="Times New Roman"/>
          <w:sz w:val="24"/>
          <w:szCs w:val="24"/>
        </w:rPr>
        <w:t xml:space="preserve">Date </w:t>
      </w:r>
    </w:p>
    <w:p w:rsidR="00FB2C5B" w:rsidRDefault="00FB2C5B" w:rsidP="00A873B5">
      <w:pPr>
        <w:spacing w:line="480" w:lineRule="auto"/>
        <w:jc w:val="center"/>
        <w:rPr>
          <w:rFonts w:ascii="Times New Roman" w:hAnsi="Times New Roman" w:cs="Times New Roman"/>
          <w:b/>
          <w:sz w:val="24"/>
          <w:szCs w:val="24"/>
        </w:rPr>
      </w:pPr>
    </w:p>
    <w:p w:rsidR="00FB2C5B" w:rsidRDefault="00FB2C5B" w:rsidP="00A873B5">
      <w:pPr>
        <w:spacing w:line="480" w:lineRule="auto"/>
        <w:jc w:val="center"/>
        <w:rPr>
          <w:rFonts w:ascii="Times New Roman" w:hAnsi="Times New Roman" w:cs="Times New Roman"/>
          <w:b/>
          <w:sz w:val="24"/>
          <w:szCs w:val="24"/>
        </w:rPr>
      </w:pPr>
    </w:p>
    <w:p w:rsidR="00A873B5" w:rsidRDefault="00A873B5" w:rsidP="00A873B5">
      <w:pPr>
        <w:spacing w:line="480" w:lineRule="auto"/>
        <w:jc w:val="center"/>
        <w:rPr>
          <w:rFonts w:ascii="Times New Roman" w:hAnsi="Times New Roman" w:cs="Times New Roman"/>
          <w:b/>
          <w:sz w:val="24"/>
          <w:szCs w:val="24"/>
        </w:rPr>
      </w:pPr>
    </w:p>
    <w:p w:rsidR="00FB2C5B" w:rsidRDefault="00FB2C5B" w:rsidP="00A873B5">
      <w:pPr>
        <w:spacing w:line="480" w:lineRule="auto"/>
        <w:jc w:val="center"/>
        <w:rPr>
          <w:rFonts w:ascii="Times New Roman" w:hAnsi="Times New Roman" w:cs="Times New Roman"/>
          <w:b/>
          <w:sz w:val="24"/>
          <w:szCs w:val="24"/>
        </w:rPr>
      </w:pPr>
    </w:p>
    <w:p w:rsidR="00FB2C5B" w:rsidRDefault="00FB2C5B" w:rsidP="00A873B5">
      <w:pPr>
        <w:spacing w:line="480" w:lineRule="auto"/>
        <w:jc w:val="center"/>
        <w:rPr>
          <w:rFonts w:ascii="Times New Roman" w:hAnsi="Times New Roman" w:cs="Times New Roman"/>
          <w:b/>
          <w:sz w:val="24"/>
          <w:szCs w:val="24"/>
        </w:rPr>
      </w:pPr>
    </w:p>
    <w:p w:rsidR="00FB2C5B" w:rsidRDefault="00FB2C5B" w:rsidP="00A873B5">
      <w:pPr>
        <w:spacing w:line="480" w:lineRule="auto"/>
        <w:jc w:val="center"/>
        <w:rPr>
          <w:rFonts w:ascii="Times New Roman" w:hAnsi="Times New Roman" w:cs="Times New Roman"/>
          <w:b/>
          <w:sz w:val="24"/>
          <w:szCs w:val="24"/>
        </w:rPr>
      </w:pPr>
    </w:p>
    <w:p w:rsidR="00047E5B" w:rsidRPr="00047E5B" w:rsidRDefault="00FB2C5B" w:rsidP="00A873B5">
      <w:pPr>
        <w:spacing w:line="480" w:lineRule="auto"/>
        <w:jc w:val="center"/>
        <w:rPr>
          <w:rFonts w:ascii="Times New Roman" w:hAnsi="Times New Roman" w:cs="Times New Roman"/>
          <w:b/>
          <w:sz w:val="24"/>
          <w:szCs w:val="24"/>
        </w:rPr>
      </w:pPr>
      <w:r w:rsidRPr="00047E5B">
        <w:rPr>
          <w:rFonts w:ascii="Times New Roman" w:hAnsi="Times New Roman" w:cs="Times New Roman"/>
          <w:b/>
          <w:sz w:val="24"/>
          <w:szCs w:val="24"/>
        </w:rPr>
        <w:lastRenderedPageBreak/>
        <w:t>Assignment</w:t>
      </w:r>
      <w:r w:rsidR="00047E5B" w:rsidRPr="00047E5B">
        <w:rPr>
          <w:rFonts w:ascii="Times New Roman" w:hAnsi="Times New Roman" w:cs="Times New Roman"/>
          <w:b/>
          <w:sz w:val="24"/>
          <w:szCs w:val="24"/>
        </w:rPr>
        <w:t xml:space="preserve">: </w:t>
      </w:r>
      <w:r w:rsidR="00047E5B">
        <w:rPr>
          <w:rFonts w:ascii="Times New Roman" w:hAnsi="Times New Roman" w:cs="Times New Roman"/>
          <w:b/>
          <w:sz w:val="24"/>
          <w:szCs w:val="24"/>
        </w:rPr>
        <w:t xml:space="preserve">Referencing </w:t>
      </w:r>
      <w:r w:rsidR="00047E5B" w:rsidRPr="00047E5B">
        <w:rPr>
          <w:rFonts w:ascii="Times New Roman" w:hAnsi="Times New Roman" w:cs="Times New Roman"/>
          <w:b/>
          <w:sz w:val="24"/>
          <w:szCs w:val="24"/>
        </w:rPr>
        <w:t>Cases and Findings of the Assigned Article</w:t>
      </w:r>
    </w:p>
    <w:p w:rsidR="00163A80" w:rsidRPr="00A570BF" w:rsidRDefault="00163A80" w:rsidP="00A873B5">
      <w:pPr>
        <w:spacing w:line="480" w:lineRule="auto"/>
        <w:ind w:firstLine="720"/>
        <w:rPr>
          <w:rFonts w:ascii="Times New Roman" w:hAnsi="Times New Roman" w:cs="Times New Roman"/>
          <w:sz w:val="24"/>
          <w:szCs w:val="24"/>
        </w:rPr>
      </w:pPr>
      <w:r w:rsidRPr="00A570BF">
        <w:rPr>
          <w:rFonts w:ascii="Times New Roman" w:hAnsi="Times New Roman" w:cs="Times New Roman"/>
          <w:sz w:val="24"/>
          <w:szCs w:val="24"/>
        </w:rPr>
        <w:t>From the textbook reading, we learned that there are significant consequences for a corporate policy resulting from inertial behavior on investors. In the cases study, Sprint Nextel is used to help put these concepts into real-life scenarios. The inertial in the market has some benefits, one of them being its impact on the stock-to-stock Merger. It improves an organization that acquires in the Merger since the shares of the person inquiring are handed to the investors. These investors always do not sell their shares in the open market because of their beliefs.  </w:t>
      </w:r>
    </w:p>
    <w:p w:rsidR="00163A80" w:rsidRPr="00A570BF" w:rsidRDefault="00163A80" w:rsidP="00A873B5">
      <w:pPr>
        <w:spacing w:line="480" w:lineRule="auto"/>
        <w:ind w:firstLine="720"/>
        <w:rPr>
          <w:rFonts w:ascii="Times New Roman" w:hAnsi="Times New Roman" w:cs="Times New Roman"/>
          <w:sz w:val="24"/>
          <w:szCs w:val="24"/>
        </w:rPr>
      </w:pPr>
      <w:r w:rsidRPr="00A570BF">
        <w:rPr>
          <w:rFonts w:ascii="Times New Roman" w:hAnsi="Times New Roman" w:cs="Times New Roman"/>
          <w:sz w:val="24"/>
          <w:szCs w:val="24"/>
        </w:rPr>
        <w:t>An example in the article is complex financial engineering described</w:t>
      </w:r>
      <w:r w:rsidR="00A570BF">
        <w:rPr>
          <w:rFonts w:ascii="Times New Roman" w:hAnsi="Times New Roman" w:cs="Times New Roman"/>
          <w:sz w:val="24"/>
          <w:szCs w:val="24"/>
        </w:rPr>
        <w:t xml:space="preserve"> in figure 12.8 in the article</w:t>
      </w:r>
      <w:r w:rsidR="00A570BF" w:rsidRPr="00A570BF">
        <w:rPr>
          <w:rFonts w:ascii="Times New Roman" w:hAnsi="Times New Roman" w:cs="Times New Roman"/>
          <w:sz w:val="24"/>
          <w:szCs w:val="24"/>
        </w:rPr>
        <w:t xml:space="preserve"> (Baker et al., 2007</w:t>
      </w:r>
      <w:r w:rsidRPr="00A570BF">
        <w:rPr>
          <w:rFonts w:ascii="Times New Roman" w:hAnsi="Times New Roman" w:cs="Times New Roman"/>
          <w:sz w:val="24"/>
          <w:szCs w:val="24"/>
        </w:rPr>
        <w:t xml:space="preserve">. A Japanese Syndicate augmented 19 billion US dollars by </w:t>
      </w:r>
      <w:r w:rsidR="00A570BF" w:rsidRPr="00A570BF">
        <w:rPr>
          <w:rFonts w:ascii="Times New Roman" w:hAnsi="Times New Roman" w:cs="Times New Roman"/>
          <w:sz w:val="24"/>
          <w:szCs w:val="24"/>
        </w:rPr>
        <w:t>Softbank</w:t>
      </w:r>
      <w:r w:rsidRPr="00A570BF">
        <w:rPr>
          <w:rFonts w:ascii="Times New Roman" w:hAnsi="Times New Roman" w:cs="Times New Roman"/>
          <w:sz w:val="24"/>
          <w:szCs w:val="24"/>
        </w:rPr>
        <w:t xml:space="preserve"> using its money. It uses this money to make a profit on HoldCo, a holding company in the United States. In return, HoldCo establishes a subsidiary that it owns 100% of the stocks without the bank's interference. This is done for an exchange of 20.1 billion US dollars given by the bank. When this new business is being announced, the subsidiary, new Sprint, will invest 3.1 billion dollars all in cash in exchange for the 100% stock of the New Sprint. At the end of the deal, when it closes, the Merger Submerges with New Sprint, and it takes the Sprint name and becomes the surviving corporation. New Sprint is then obligated to produce the 17 billion US dollars, out of which Sprint retains 4.9 billion US dollars. The remaining 12.1 billion dollars of the 17 billion dollars is used for getting Sprint by purchasing the stock. This is achieved by buying the stocks of Sprint through a tender offer. </w:t>
      </w:r>
    </w:p>
    <w:p w:rsidR="00163A80" w:rsidRPr="00A570BF" w:rsidRDefault="00163A80" w:rsidP="00A873B5">
      <w:pPr>
        <w:spacing w:line="480" w:lineRule="auto"/>
        <w:ind w:firstLine="720"/>
        <w:rPr>
          <w:rFonts w:ascii="Times New Roman" w:hAnsi="Times New Roman" w:cs="Times New Roman"/>
          <w:sz w:val="24"/>
          <w:szCs w:val="24"/>
        </w:rPr>
      </w:pPr>
      <w:r w:rsidRPr="00A570BF">
        <w:rPr>
          <w:rFonts w:ascii="Times New Roman" w:hAnsi="Times New Roman" w:cs="Times New Roman"/>
          <w:sz w:val="24"/>
          <w:szCs w:val="24"/>
        </w:rPr>
        <w:t xml:space="preserve">All these results in a decrease in the price pressure due to the existing downward sloping demand curve caused by inertia. The overall effect of this is that it leads to cheaper equity financing in the end. Similar to the case study, the textbook reading detailed more about the form of payments and acquisition. It also included tax and accounting considerations together with the </w:t>
      </w:r>
      <w:r w:rsidRPr="00A570BF">
        <w:rPr>
          <w:rFonts w:ascii="Times New Roman" w:hAnsi="Times New Roman" w:cs="Times New Roman"/>
          <w:sz w:val="24"/>
          <w:szCs w:val="24"/>
        </w:rPr>
        <w:lastRenderedPageBreak/>
        <w:t>complex deal and financial structures. The concepts of transactions, taxations, and various accounting considerations options are described in table 12.7 in the article case study (Baker et al., 2007). The table shows how the owners do transactions of the corporations. It does so in steps and procedures that can be followed to show how it transferred 70% of the stocks to SoftBank. </w:t>
      </w:r>
    </w:p>
    <w:p w:rsidR="00A570BF" w:rsidRDefault="00163A80" w:rsidP="00A873B5">
      <w:pPr>
        <w:spacing w:line="480" w:lineRule="auto"/>
        <w:ind w:firstLine="720"/>
        <w:rPr>
          <w:rFonts w:ascii="Times New Roman" w:hAnsi="Times New Roman" w:cs="Times New Roman"/>
          <w:sz w:val="24"/>
          <w:szCs w:val="24"/>
        </w:rPr>
      </w:pPr>
      <w:r w:rsidRPr="00A570BF">
        <w:rPr>
          <w:rFonts w:ascii="Times New Roman" w:hAnsi="Times New Roman" w:cs="Times New Roman"/>
          <w:sz w:val="24"/>
          <w:szCs w:val="24"/>
        </w:rPr>
        <w:t>In conclusion, the textbook readings and the article's case studies show that those intending to acquire firms that have higher institutional ownership are likely to face adverse announcement effects. These people are also expected to experience greater announcement volume. However, this is not the case if institutional ownership and overlap targets are low. When it is low, the acquirer will experience more robust results when the shares owned by the acquirer are steep.</w:t>
      </w:r>
      <w:r w:rsidR="00A570BF">
        <w:rPr>
          <w:rFonts w:ascii="Times New Roman" w:hAnsi="Times New Roman" w:cs="Times New Roman"/>
          <w:sz w:val="24"/>
          <w:szCs w:val="24"/>
        </w:rPr>
        <w:t xml:space="preserve"> </w:t>
      </w:r>
      <w:r w:rsidR="00A570BF" w:rsidRPr="00A570BF">
        <w:rPr>
          <w:rFonts w:ascii="Times New Roman" w:hAnsi="Times New Roman" w:cs="Times New Roman"/>
          <w:sz w:val="24"/>
          <w:szCs w:val="24"/>
        </w:rPr>
        <w:t>It improves the organization acquired in a merger because the inquirer’s shares have been handed over to investors. Because of their beliefs, these investors will never sell their shares on the open market.</w:t>
      </w:r>
    </w:p>
    <w:p w:rsidR="00A873B5" w:rsidRDefault="00A873B5" w:rsidP="00A873B5">
      <w:pPr>
        <w:spacing w:line="480" w:lineRule="auto"/>
        <w:ind w:firstLine="720"/>
        <w:rPr>
          <w:rFonts w:ascii="Times New Roman" w:hAnsi="Times New Roman" w:cs="Times New Roman"/>
          <w:sz w:val="24"/>
          <w:szCs w:val="24"/>
        </w:rPr>
      </w:pPr>
    </w:p>
    <w:p w:rsidR="00A873B5" w:rsidRDefault="00A873B5" w:rsidP="00A873B5">
      <w:pPr>
        <w:spacing w:line="480" w:lineRule="auto"/>
        <w:ind w:firstLine="720"/>
        <w:rPr>
          <w:rFonts w:ascii="Times New Roman" w:hAnsi="Times New Roman" w:cs="Times New Roman"/>
          <w:sz w:val="24"/>
          <w:szCs w:val="24"/>
        </w:rPr>
      </w:pPr>
    </w:p>
    <w:p w:rsidR="00A873B5" w:rsidRDefault="00A873B5" w:rsidP="00A873B5">
      <w:pPr>
        <w:spacing w:line="480" w:lineRule="auto"/>
        <w:ind w:firstLine="720"/>
        <w:rPr>
          <w:rFonts w:ascii="Times New Roman" w:hAnsi="Times New Roman" w:cs="Times New Roman"/>
          <w:sz w:val="24"/>
          <w:szCs w:val="24"/>
        </w:rPr>
      </w:pPr>
    </w:p>
    <w:p w:rsidR="00A873B5" w:rsidRDefault="00A873B5" w:rsidP="00A873B5">
      <w:pPr>
        <w:spacing w:line="480" w:lineRule="auto"/>
        <w:ind w:firstLine="720"/>
        <w:rPr>
          <w:rFonts w:ascii="Times New Roman" w:hAnsi="Times New Roman" w:cs="Times New Roman"/>
          <w:sz w:val="24"/>
          <w:szCs w:val="24"/>
        </w:rPr>
      </w:pPr>
    </w:p>
    <w:p w:rsidR="00A873B5" w:rsidRDefault="00A873B5" w:rsidP="00A873B5">
      <w:pPr>
        <w:spacing w:line="480" w:lineRule="auto"/>
        <w:ind w:firstLine="720"/>
        <w:rPr>
          <w:rFonts w:ascii="Times New Roman" w:hAnsi="Times New Roman" w:cs="Times New Roman"/>
          <w:sz w:val="24"/>
          <w:szCs w:val="24"/>
        </w:rPr>
      </w:pPr>
    </w:p>
    <w:p w:rsidR="00A873B5" w:rsidRDefault="00A873B5" w:rsidP="00A873B5">
      <w:pPr>
        <w:spacing w:line="480" w:lineRule="auto"/>
        <w:ind w:firstLine="720"/>
        <w:rPr>
          <w:rFonts w:ascii="Times New Roman" w:hAnsi="Times New Roman" w:cs="Times New Roman"/>
          <w:sz w:val="24"/>
          <w:szCs w:val="24"/>
        </w:rPr>
      </w:pPr>
    </w:p>
    <w:p w:rsidR="00A873B5" w:rsidRDefault="00A873B5" w:rsidP="00A873B5">
      <w:pPr>
        <w:spacing w:line="480" w:lineRule="auto"/>
        <w:ind w:firstLine="720"/>
        <w:rPr>
          <w:rFonts w:ascii="Times New Roman" w:hAnsi="Times New Roman" w:cs="Times New Roman"/>
          <w:sz w:val="24"/>
          <w:szCs w:val="24"/>
        </w:rPr>
      </w:pPr>
    </w:p>
    <w:p w:rsidR="00A873B5" w:rsidRPr="00A570BF" w:rsidRDefault="00A873B5" w:rsidP="00A873B5">
      <w:pPr>
        <w:spacing w:line="480" w:lineRule="auto"/>
        <w:ind w:firstLine="720"/>
        <w:rPr>
          <w:rFonts w:ascii="Times New Roman" w:hAnsi="Times New Roman" w:cs="Times New Roman"/>
          <w:sz w:val="24"/>
          <w:szCs w:val="24"/>
        </w:rPr>
      </w:pPr>
      <w:bookmarkStart w:id="0" w:name="_GoBack"/>
      <w:bookmarkEnd w:id="0"/>
    </w:p>
    <w:p w:rsidR="00163A80" w:rsidRPr="00A570BF" w:rsidRDefault="00163A80" w:rsidP="00A873B5">
      <w:pPr>
        <w:spacing w:line="480" w:lineRule="auto"/>
        <w:jc w:val="center"/>
        <w:rPr>
          <w:rFonts w:ascii="Times New Roman" w:hAnsi="Times New Roman" w:cs="Times New Roman"/>
          <w:b/>
          <w:sz w:val="24"/>
          <w:szCs w:val="24"/>
        </w:rPr>
      </w:pPr>
      <w:r w:rsidRPr="00A570BF">
        <w:rPr>
          <w:rFonts w:ascii="Times New Roman" w:hAnsi="Times New Roman" w:cs="Times New Roman"/>
          <w:b/>
          <w:sz w:val="24"/>
          <w:szCs w:val="24"/>
        </w:rPr>
        <w:lastRenderedPageBreak/>
        <w:t>Reference</w:t>
      </w:r>
    </w:p>
    <w:p w:rsidR="00163A80" w:rsidRPr="00A570BF" w:rsidRDefault="00163A80" w:rsidP="00A873B5">
      <w:pPr>
        <w:spacing w:line="480" w:lineRule="auto"/>
        <w:ind w:left="720" w:hanging="720"/>
        <w:rPr>
          <w:rFonts w:ascii="Times New Roman" w:hAnsi="Times New Roman" w:cs="Times New Roman"/>
          <w:sz w:val="24"/>
          <w:szCs w:val="24"/>
        </w:rPr>
      </w:pPr>
      <w:r w:rsidRPr="00A570BF">
        <w:rPr>
          <w:rFonts w:ascii="Times New Roman" w:hAnsi="Times New Roman" w:cs="Times New Roman"/>
          <w:sz w:val="24"/>
          <w:szCs w:val="24"/>
        </w:rPr>
        <w:t>Baker, M., Coval, J., &amp; Stein, J. C. (2007). Corporate financing decisions when investors take the path of least resistance. Journal of Financial Economics, 84(2), 266-298.</w:t>
      </w:r>
    </w:p>
    <w:p w:rsidR="00163A80" w:rsidRPr="00A570BF" w:rsidRDefault="00163A80" w:rsidP="00A873B5">
      <w:pPr>
        <w:spacing w:line="480" w:lineRule="auto"/>
        <w:rPr>
          <w:rFonts w:ascii="Times New Roman" w:hAnsi="Times New Roman" w:cs="Times New Roman"/>
          <w:sz w:val="24"/>
          <w:szCs w:val="24"/>
        </w:rPr>
      </w:pPr>
      <w:r w:rsidRPr="00A570BF">
        <w:rPr>
          <w:rFonts w:ascii="Times New Roman" w:hAnsi="Times New Roman" w:cs="Times New Roman"/>
          <w:sz w:val="24"/>
          <w:szCs w:val="24"/>
        </w:rPr>
        <w:t> </w:t>
      </w:r>
    </w:p>
    <w:p w:rsidR="00245E77" w:rsidRPr="00A570BF" w:rsidRDefault="00245E77" w:rsidP="00A873B5">
      <w:pPr>
        <w:spacing w:line="480" w:lineRule="auto"/>
        <w:rPr>
          <w:rFonts w:ascii="Times New Roman" w:hAnsi="Times New Roman" w:cs="Times New Roman"/>
          <w:sz w:val="24"/>
          <w:szCs w:val="24"/>
        </w:rPr>
      </w:pPr>
    </w:p>
    <w:sectPr w:rsidR="00245E77" w:rsidRPr="00A570B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E90" w:rsidRDefault="005A3E90" w:rsidP="00A873B5">
      <w:pPr>
        <w:spacing w:after="0" w:line="240" w:lineRule="auto"/>
      </w:pPr>
      <w:r>
        <w:separator/>
      </w:r>
    </w:p>
  </w:endnote>
  <w:endnote w:type="continuationSeparator" w:id="0">
    <w:p w:rsidR="005A3E90" w:rsidRDefault="005A3E90" w:rsidP="00A87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E90" w:rsidRDefault="005A3E90" w:rsidP="00A873B5">
      <w:pPr>
        <w:spacing w:after="0" w:line="240" w:lineRule="auto"/>
      </w:pPr>
      <w:r>
        <w:separator/>
      </w:r>
    </w:p>
  </w:footnote>
  <w:footnote w:type="continuationSeparator" w:id="0">
    <w:p w:rsidR="005A3E90" w:rsidRDefault="005A3E90" w:rsidP="00A873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0942356"/>
      <w:docPartObj>
        <w:docPartGallery w:val="Page Numbers (Top of Page)"/>
        <w:docPartUnique/>
      </w:docPartObj>
    </w:sdtPr>
    <w:sdtEndPr>
      <w:rPr>
        <w:noProof/>
      </w:rPr>
    </w:sdtEndPr>
    <w:sdtContent>
      <w:p w:rsidR="00A873B5" w:rsidRDefault="00A873B5">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A873B5" w:rsidRDefault="00A873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CF3"/>
    <w:rsid w:val="00047E5B"/>
    <w:rsid w:val="00094E99"/>
    <w:rsid w:val="001003EA"/>
    <w:rsid w:val="001110C0"/>
    <w:rsid w:val="00163A80"/>
    <w:rsid w:val="0018041A"/>
    <w:rsid w:val="001A3404"/>
    <w:rsid w:val="001D69F0"/>
    <w:rsid w:val="00245E77"/>
    <w:rsid w:val="0025058E"/>
    <w:rsid w:val="002A09B7"/>
    <w:rsid w:val="002C38A7"/>
    <w:rsid w:val="002F5488"/>
    <w:rsid w:val="00367F1D"/>
    <w:rsid w:val="003A5CF3"/>
    <w:rsid w:val="003E56E0"/>
    <w:rsid w:val="004370E5"/>
    <w:rsid w:val="0045727A"/>
    <w:rsid w:val="00542A54"/>
    <w:rsid w:val="00543619"/>
    <w:rsid w:val="00554C7E"/>
    <w:rsid w:val="005A3E90"/>
    <w:rsid w:val="005E6CBD"/>
    <w:rsid w:val="006B2290"/>
    <w:rsid w:val="006E031A"/>
    <w:rsid w:val="006E205C"/>
    <w:rsid w:val="0077778F"/>
    <w:rsid w:val="00847100"/>
    <w:rsid w:val="00897526"/>
    <w:rsid w:val="00966295"/>
    <w:rsid w:val="00994603"/>
    <w:rsid w:val="009C6F7C"/>
    <w:rsid w:val="00A570BF"/>
    <w:rsid w:val="00A873B5"/>
    <w:rsid w:val="00AC2770"/>
    <w:rsid w:val="00BA2EE1"/>
    <w:rsid w:val="00BB11E6"/>
    <w:rsid w:val="00CA69A0"/>
    <w:rsid w:val="00D21DDE"/>
    <w:rsid w:val="00D25413"/>
    <w:rsid w:val="00E842D7"/>
    <w:rsid w:val="00E95AB8"/>
    <w:rsid w:val="00EC250E"/>
    <w:rsid w:val="00F73E84"/>
    <w:rsid w:val="00F9136E"/>
    <w:rsid w:val="00FB2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6C067"/>
  <w15:chartTrackingRefBased/>
  <w15:docId w15:val="{0D704B9C-E571-4E3F-A610-4C72335A7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5E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3A80"/>
    <w:rPr>
      <w:b/>
      <w:bCs/>
    </w:rPr>
  </w:style>
  <w:style w:type="character" w:styleId="Emphasis">
    <w:name w:val="Emphasis"/>
    <w:basedOn w:val="DefaultParagraphFont"/>
    <w:uiPriority w:val="20"/>
    <w:qFormat/>
    <w:rsid w:val="00163A80"/>
    <w:rPr>
      <w:i/>
      <w:iCs/>
    </w:rPr>
  </w:style>
  <w:style w:type="paragraph" w:styleId="Header">
    <w:name w:val="header"/>
    <w:basedOn w:val="Normal"/>
    <w:link w:val="HeaderChar"/>
    <w:uiPriority w:val="99"/>
    <w:unhideWhenUsed/>
    <w:rsid w:val="00A873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3B5"/>
  </w:style>
  <w:style w:type="paragraph" w:styleId="Footer">
    <w:name w:val="footer"/>
    <w:basedOn w:val="Normal"/>
    <w:link w:val="FooterChar"/>
    <w:uiPriority w:val="99"/>
    <w:unhideWhenUsed/>
    <w:rsid w:val="00A873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3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6225546">
      <w:bodyDiv w:val="1"/>
      <w:marLeft w:val="0"/>
      <w:marRight w:val="0"/>
      <w:marTop w:val="0"/>
      <w:marBottom w:val="0"/>
      <w:divBdr>
        <w:top w:val="none" w:sz="0" w:space="0" w:color="auto"/>
        <w:left w:val="none" w:sz="0" w:space="0" w:color="auto"/>
        <w:bottom w:val="none" w:sz="0" w:space="0" w:color="auto"/>
        <w:right w:val="none" w:sz="0" w:space="0" w:color="auto"/>
      </w:divBdr>
    </w:div>
    <w:div w:id="197802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4</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dc:creator>
  <cp:keywords/>
  <dc:description/>
  <cp:lastModifiedBy>uz</cp:lastModifiedBy>
  <cp:revision>40</cp:revision>
  <dcterms:created xsi:type="dcterms:W3CDTF">2021-10-22T23:55:00Z</dcterms:created>
  <dcterms:modified xsi:type="dcterms:W3CDTF">2021-10-23T00:59:00Z</dcterms:modified>
</cp:coreProperties>
</file>